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0F" w:rsidRPr="002F60D3" w:rsidRDefault="00597F14" w:rsidP="00597F14">
      <w:pPr>
        <w:pStyle w:val="BodyText2"/>
        <w:spacing w:line="240" w:lineRule="auto"/>
        <w:ind w:right="403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C7A3B" w:rsidRPr="002F60D3">
        <w:rPr>
          <w:rFonts w:ascii="Times New Roman" w:hAnsi="Times New Roman"/>
          <w:b/>
          <w:sz w:val="24"/>
          <w:szCs w:val="24"/>
        </w:rPr>
        <w:t>Examples of early education and care quality improvement services</w:t>
      </w:r>
      <w:r w:rsidR="002F60D3">
        <w:rPr>
          <w:rFonts w:ascii="Times New Roman" w:hAnsi="Times New Roman"/>
          <w:b/>
          <w:sz w:val="24"/>
          <w:szCs w:val="24"/>
        </w:rPr>
        <w:t>:</w:t>
      </w:r>
      <w:r w:rsidR="004C7A3B" w:rsidRPr="002F60D3">
        <w:rPr>
          <w:rFonts w:ascii="Times New Roman" w:hAnsi="Times New Roman"/>
          <w:b/>
          <w:sz w:val="24"/>
          <w:szCs w:val="24"/>
        </w:rPr>
        <w:t xml:space="preserve"> </w:t>
      </w:r>
    </w:p>
    <w:p w:rsidR="00B4365A" w:rsidRDefault="00B4365A" w:rsidP="0018080F">
      <w:pPr>
        <w:pStyle w:val="BodyText2"/>
        <w:spacing w:line="240" w:lineRule="auto"/>
        <w:ind w:left="360" w:right="403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497"/>
        <w:gridCol w:w="6385"/>
      </w:tblGrid>
      <w:tr w:rsidR="0018080F" w:rsidTr="003A528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 to promote inclusive child care for infants/toddlers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Recruit providers to care for infants and toddlers with disabilities; </w:t>
            </w: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Train providers to care for infants and toddlers with disabilities; </w:t>
            </w: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Hire staff to write inclusion plans, monitor  infants and toddlers with inclusion plans, and offer technical assistance and training to provider staff working with infants and toddlers with disabilities; </w:t>
            </w: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Coordinate or partner with local Early Childhood Intervention (ECI) programs to provide training or resources for early detection of children with special needs; and </w:t>
            </w: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Default="0018080F" w:rsidP="003A5285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Supply developmentally appropriate toys and resource materials to providers caring for infants and toddlers with disabilities. </w:t>
            </w:r>
          </w:p>
        </w:tc>
      </w:tr>
      <w:tr w:rsidR="0018080F" w:rsidTr="003A528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Professional development for infant/toddler child care 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Coordinate with community agencies to provide research-based training for providers that care for infants and toddlers; </w:t>
            </w: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Offer and fund training sessions for additional child care health consultants to assist providers that offer infant and toddler care; </w:t>
            </w: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Develop a network of child care health consultants who can provide on-site technical assistance and training; and </w:t>
            </w: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Default="0018080F" w:rsidP="00B4365A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Provide a reference library for certified child care health consultants serving infant and toddler care providers.</w:t>
            </w:r>
          </w:p>
          <w:p w:rsidR="003A5285" w:rsidRDefault="003A5285" w:rsidP="00B4365A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0F" w:rsidTr="003A528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 to increase capacity for infants and toddlers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Fund minor classroom renovations to convert existing classrooms and create additional infant and toddler classrooms; </w:t>
            </w: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Provide resources to child care providers for equipment and supplies.</w:t>
            </w: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Provide equipment and material incentives for providers that open additional infant and toddler classrooms; and </w:t>
            </w: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Hire infant-toddler specialists to provide technical assistance, training, and/or monitoring of new infant and toddler caregivers.</w:t>
            </w:r>
          </w:p>
          <w:p w:rsidR="0018080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7F14" w:rsidTr="003A528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F14" w:rsidRDefault="00597F1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Activities that promote collaboration with Early Head Start or other local agencies and organizations to improve care for infants/toddlers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F14" w:rsidRDefault="00597F14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Collaborate or partner with Early Head Start programs, or other community agencies to train new infant and toddler caregivers or offer ongoing professional development opportunities.</w:t>
            </w:r>
          </w:p>
          <w:p w:rsidR="00597F14" w:rsidRDefault="00597F14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0F" w:rsidTr="003A528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>Activities to expand, maintain, or improve Texas Rising Star or nationally accredited providers.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Maintain </w:t>
            </w:r>
            <w:r w:rsidR="00597F14"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and build the </w:t>
            </w: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pool</w:t>
            </w:r>
            <w:r w:rsidR="004C7A3B"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 of </w:t>
            </w:r>
            <w:r w:rsidR="00597F14"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 providers</w:t>
            </w:r>
            <w:r w:rsidR="003A5285"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 that qualify for </w:t>
            </w:r>
            <w:r w:rsidR="004C7A3B"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Texas Rising Star (TRS), </w:t>
            </w: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National Association for</w:t>
            </w:r>
            <w:r w:rsidR="0042103D"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 the Education of Young Children</w:t>
            </w: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 (NAEYC)</w:t>
            </w:r>
            <w:r w:rsidR="004C7A3B"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 and other</w:t>
            </w: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="003A5285"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accrediting programs </w:t>
            </w: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by providing technical assistance to programs in je</w:t>
            </w:r>
            <w:r w:rsidR="009645DF" w:rsidRPr="00CA44EF">
              <w:rPr>
                <w:rFonts w:ascii="Times New Roman" w:hAnsi="Times New Roman"/>
                <w:noProof/>
                <w:sz w:val="24"/>
                <w:szCs w:val="24"/>
              </w:rPr>
              <w:t>o</w:t>
            </w: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pa</w:t>
            </w:r>
            <w:r w:rsidR="009645DF" w:rsidRPr="00CA44EF">
              <w:rPr>
                <w:rFonts w:ascii="Times New Roman" w:hAnsi="Times New Roman"/>
                <w:noProof/>
                <w:sz w:val="24"/>
                <w:szCs w:val="24"/>
              </w:rPr>
              <w:t>r</w:t>
            </w: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dy of losing their license</w:t>
            </w:r>
            <w:r w:rsidR="003A5285"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 and helping new programs meet accreditation standards</w:t>
            </w: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Track and provide orientations to newly certifed TRS programs.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Provide marketing to promote TRS and NAEYC</w:t>
            </w:r>
            <w:r w:rsidR="004C7A3B"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 and other</w:t>
            </w: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 certifications and increase the number of providers with either of these certifications.</w:t>
            </w:r>
          </w:p>
          <w:p w:rsidR="00032BC6" w:rsidRPr="00CA44EF" w:rsidRDefault="00032BC6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CE7372" w:rsidRPr="00CA44EF" w:rsidRDefault="00CE7372" w:rsidP="00CE737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 xml:space="preserve">Assess and mentor TRS providers to confirm </w:t>
            </w:r>
            <w:r w:rsidR="001824F6" w:rsidRPr="00CA44EF">
              <w:rPr>
                <w:rFonts w:ascii="Times New Roman" w:hAnsi="Times New Roman"/>
                <w:sz w:val="24"/>
                <w:szCs w:val="24"/>
              </w:rPr>
              <w:t>TRS</w:t>
            </w:r>
            <w:r w:rsidRPr="00CA44EF">
              <w:rPr>
                <w:rFonts w:ascii="Times New Roman" w:hAnsi="Times New Roman"/>
                <w:sz w:val="24"/>
                <w:szCs w:val="24"/>
              </w:rPr>
              <w:t xml:space="preserve"> Certification</w:t>
            </w:r>
            <w:r w:rsidR="006812E0" w:rsidRPr="00CA44EF">
              <w:rPr>
                <w:rFonts w:ascii="Times New Roman" w:hAnsi="Times New Roman"/>
                <w:sz w:val="24"/>
                <w:szCs w:val="24"/>
              </w:rPr>
              <w:t xml:space="preserve"> using:</w:t>
            </w:r>
          </w:p>
          <w:p w:rsidR="007720E1" w:rsidRPr="00CA44EF" w:rsidRDefault="007720E1" w:rsidP="007720E1">
            <w:pPr>
              <w:pStyle w:val="Default"/>
              <w:numPr>
                <w:ilvl w:val="0"/>
                <w:numId w:val="2"/>
              </w:numPr>
              <w:ind w:right="576"/>
              <w:rPr>
                <w:sz w:val="23"/>
                <w:szCs w:val="23"/>
              </w:rPr>
            </w:pPr>
            <w:r w:rsidRPr="00CA44EF">
              <w:t xml:space="preserve">Assessors </w:t>
            </w:r>
            <w:r w:rsidR="006812E0" w:rsidRPr="00CA44EF">
              <w:t xml:space="preserve">to </w:t>
            </w:r>
            <w:r w:rsidRPr="00CA44EF">
              <w:rPr>
                <w:sz w:val="23"/>
                <w:szCs w:val="23"/>
              </w:rPr>
              <w:t xml:space="preserve">evaluate </w:t>
            </w:r>
            <w:r w:rsidR="005E32EE" w:rsidRPr="00CA44EF">
              <w:rPr>
                <w:sz w:val="23"/>
                <w:szCs w:val="23"/>
              </w:rPr>
              <w:t xml:space="preserve">staff and </w:t>
            </w:r>
            <w:r w:rsidRPr="00CA44EF">
              <w:rPr>
                <w:sz w:val="23"/>
                <w:szCs w:val="23"/>
              </w:rPr>
              <w:t xml:space="preserve">facilities to measure the sites ability to meet TRS provider certification criteria set forth in the state TRS guidelines. </w:t>
            </w:r>
          </w:p>
          <w:p w:rsidR="00DE5E17" w:rsidRPr="00CA44EF" w:rsidRDefault="00DE5E17" w:rsidP="007720E1">
            <w:pPr>
              <w:pStyle w:val="Default"/>
              <w:numPr>
                <w:ilvl w:val="0"/>
                <w:numId w:val="2"/>
              </w:numPr>
              <w:ind w:right="576"/>
              <w:rPr>
                <w:sz w:val="23"/>
                <w:szCs w:val="23"/>
              </w:rPr>
            </w:pPr>
            <w:r w:rsidRPr="00CA44EF">
              <w:rPr>
                <w:sz w:val="23"/>
                <w:szCs w:val="23"/>
              </w:rPr>
              <w:t>Mentors</w:t>
            </w:r>
            <w:r w:rsidR="006812E0" w:rsidRPr="00CA44EF">
              <w:rPr>
                <w:sz w:val="23"/>
                <w:szCs w:val="23"/>
              </w:rPr>
              <w:t xml:space="preserve"> </w:t>
            </w:r>
            <w:r w:rsidR="006812E0" w:rsidRPr="00CA44EF">
              <w:t>to p</w:t>
            </w:r>
            <w:r w:rsidR="0066725E" w:rsidRPr="00CA44EF">
              <w:t xml:space="preserve">rovide technical assistance to providers on how to navigate </w:t>
            </w:r>
            <w:r w:rsidR="00B94245">
              <w:t xml:space="preserve">the </w:t>
            </w:r>
            <w:r w:rsidR="0066725E" w:rsidRPr="00CA44EF">
              <w:t>TRS system while increasing the quality of care they provide to children.</w:t>
            </w:r>
          </w:p>
          <w:p w:rsidR="0018080F" w:rsidRPr="00CA44EF" w:rsidRDefault="007872F1" w:rsidP="007872F1">
            <w:pPr>
              <w:spacing w:line="240" w:lineRule="auto"/>
              <w:ind w:left="720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(Both positions require a College degree in the Early Childhood Education field.)</w:t>
            </w:r>
          </w:p>
        </w:tc>
      </w:tr>
      <w:tr w:rsidR="0018080F" w:rsidTr="003A5285">
        <w:trPr>
          <w:trHeight w:val="188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>Activities to promote inclusive child care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R</w:t>
            </w:r>
            <w:r w:rsidR="00643607" w:rsidRPr="00CA44EF">
              <w:rPr>
                <w:rFonts w:ascii="Times New Roman" w:hAnsi="Times New Roman"/>
                <w:sz w:val="24"/>
                <w:szCs w:val="24"/>
              </w:rPr>
              <w:t xml:space="preserve">ecruit </w:t>
            </w:r>
            <w:r w:rsidRPr="00CA44EF">
              <w:rPr>
                <w:rFonts w:ascii="Times New Roman" w:hAnsi="Times New Roman"/>
                <w:sz w:val="24"/>
                <w:szCs w:val="24"/>
              </w:rPr>
              <w:t>more providers to serve children with disabilities.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>D</w:t>
            </w: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 xml:space="preserve">evelop inclusion plans, provide on-site consultations and resources for familes and providers serving children with disabilities; 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Pr="00CA44EF" w:rsidRDefault="0049137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S</w:t>
            </w:r>
            <w:r w:rsidR="0018080F" w:rsidRPr="00CA44EF">
              <w:rPr>
                <w:rFonts w:ascii="Times New Roman" w:hAnsi="Times New Roman"/>
                <w:noProof/>
                <w:sz w:val="24"/>
                <w:szCs w:val="24"/>
              </w:rPr>
              <w:t>upply developmentally appropriate toys and resource materials to providers caring for children with disabilities.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0F" w:rsidTr="003A5285"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 xml:space="preserve">Professional development </w:t>
            </w:r>
          </w:p>
          <w:p w:rsidR="0018080F" w:rsidRPr="00CA44EF" w:rsidRDefault="0018080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F" w:rsidRPr="00CA44EF" w:rsidRDefault="0018080F" w:rsidP="006833E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Provide and arrange quarterly  training to address health and safety, nutrition, first aid,  the recogniton of communicable diseases and child abuse detection and prevention.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Develop a network of child health consultants who can provide on site technical assistance and trainings.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0F" w:rsidRPr="00132B9A" w:rsidTr="003A5285"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0F" w:rsidRPr="00CA44EF" w:rsidRDefault="0018080F">
            <w:pPr>
              <w:widowControl/>
              <w:adjustRightInd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>Provide training that lead to Child Development Associate credential; provide tuition or stipends to attend early education course at colleges and universities.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>Provide funding for child care providers for substitu</w:t>
            </w:r>
            <w:r w:rsidR="00597F14" w:rsidRPr="00CA44EF">
              <w:rPr>
                <w:rFonts w:ascii="Times New Roman" w:hAnsi="Times New Roman"/>
                <w:sz w:val="24"/>
                <w:szCs w:val="24"/>
              </w:rPr>
              <w:t>t</w:t>
            </w:r>
            <w:r w:rsidRPr="00CA44EF">
              <w:rPr>
                <w:rFonts w:ascii="Times New Roman" w:hAnsi="Times New Roman"/>
                <w:sz w:val="24"/>
                <w:szCs w:val="24"/>
              </w:rPr>
              <w:t>e care givers so staff can participate in early learning and child development trainings.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 xml:space="preserve">Provide resources and technical assistance </w:t>
            </w:r>
            <w:r w:rsidR="00A84D0A" w:rsidRPr="00CA44EF"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r w:rsidRPr="00CA44EF">
              <w:rPr>
                <w:rFonts w:ascii="Times New Roman" w:hAnsi="Times New Roman"/>
                <w:sz w:val="24"/>
                <w:szCs w:val="24"/>
              </w:rPr>
              <w:t>providers.</w:t>
            </w:r>
          </w:p>
          <w:p w:rsidR="00032BC6" w:rsidRPr="00CA44EF" w:rsidRDefault="00032BC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8080F" w:rsidRPr="00CA44EF" w:rsidRDefault="0018080F" w:rsidP="00CE737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0F" w:rsidTr="003A528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>Activities to promote early learning and literacy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Provide resources to child care providers for equipment and supplies.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0F" w:rsidTr="003A5285"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F" w:rsidRPr="00CA44EF" w:rsidRDefault="0018080F" w:rsidP="00CE737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 xml:space="preserve">Activities to promote collaboration with Head Start, </w:t>
            </w:r>
            <w:r w:rsidR="00CE7372" w:rsidRPr="00CA44EF">
              <w:rPr>
                <w:rFonts w:ascii="Times New Roman" w:hAnsi="Times New Roman"/>
                <w:sz w:val="24"/>
                <w:szCs w:val="24"/>
              </w:rPr>
              <w:t>P</w:t>
            </w:r>
            <w:r w:rsidRPr="00CA44EF">
              <w:rPr>
                <w:rFonts w:ascii="Times New Roman" w:hAnsi="Times New Roman"/>
                <w:sz w:val="24"/>
                <w:szCs w:val="24"/>
              </w:rPr>
              <w:t>re K or other community partners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Partner with Head Start, pre-kindergartern programs and other community  agencies to train new caregivers or offer ongoing professional development opportunities.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80F" w:rsidTr="003A5285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>Child care consumer education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Maintain a Resource and Management team which provide referrals to families who access parent educators by telephone fax, or e-mail.</w:t>
            </w: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Expand existing online access to consumer education  resources.</w:t>
            </w:r>
          </w:p>
          <w:p w:rsidR="00643607" w:rsidRPr="00CA44EF" w:rsidRDefault="00643607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643607" w:rsidRPr="00CA44EF" w:rsidRDefault="00643607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8080F" w:rsidRPr="00CA44EF" w:rsidRDefault="0018080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607" w:rsidTr="003A5285">
        <w:trPr>
          <w:trHeight w:val="7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07" w:rsidRPr="00CA44EF" w:rsidRDefault="00643607" w:rsidP="00643607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44EF">
              <w:rPr>
                <w:rFonts w:ascii="Times New Roman" w:hAnsi="Times New Roman"/>
                <w:sz w:val="24"/>
                <w:szCs w:val="24"/>
              </w:rPr>
              <w:t>Promote and provide parenting education information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07" w:rsidRPr="00CA44EF" w:rsidRDefault="00643607">
            <w:pPr>
              <w:spacing w:line="240" w:lineRule="auto"/>
              <w:jc w:val="lef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CA44EF">
              <w:rPr>
                <w:rFonts w:ascii="Times New Roman" w:hAnsi="Times New Roman"/>
                <w:noProof/>
                <w:sz w:val="24"/>
                <w:szCs w:val="24"/>
              </w:rPr>
              <w:t>Provide resources that promote families and involvment with their children’s child care providers.</w:t>
            </w:r>
          </w:p>
        </w:tc>
      </w:tr>
    </w:tbl>
    <w:p w:rsidR="0018080F" w:rsidRDefault="0018080F" w:rsidP="0018080F"/>
    <w:p w:rsidR="0018080F" w:rsidRDefault="0018080F" w:rsidP="0018080F">
      <w:pPr>
        <w:pStyle w:val="BodyText2"/>
        <w:spacing w:line="240" w:lineRule="auto"/>
        <w:ind w:left="360" w:right="403"/>
        <w:jc w:val="left"/>
        <w:rPr>
          <w:rFonts w:ascii="Times New Roman" w:hAnsi="Times New Roman"/>
          <w:sz w:val="24"/>
          <w:szCs w:val="24"/>
        </w:rPr>
      </w:pPr>
    </w:p>
    <w:p w:rsidR="00653F2C" w:rsidRDefault="00653F2C"/>
    <w:sectPr w:rsidR="00653F2C" w:rsidSect="00CE7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0F" w:rsidRDefault="0018080F" w:rsidP="0018080F">
      <w:pPr>
        <w:spacing w:line="240" w:lineRule="auto"/>
      </w:pPr>
      <w:r>
        <w:separator/>
      </w:r>
    </w:p>
  </w:endnote>
  <w:endnote w:type="continuationSeparator" w:id="0">
    <w:p w:rsidR="0018080F" w:rsidRDefault="0018080F" w:rsidP="00180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D4" w:rsidRDefault="00E53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0F" w:rsidRDefault="0018080F">
    <w:pPr>
      <w:pStyle w:val="Footer"/>
      <w:rPr>
        <w:sz w:val="22"/>
        <w:szCs w:val="22"/>
      </w:rPr>
    </w:pPr>
    <w:r>
      <w:tab/>
    </w:r>
    <w:r>
      <w:tab/>
    </w:r>
    <w:r>
      <w:rPr>
        <w:sz w:val="22"/>
        <w:szCs w:val="22"/>
      </w:rPr>
      <w:t xml:space="preserve"> </w:t>
    </w:r>
  </w:p>
  <w:p w:rsidR="00B4365A" w:rsidRDefault="00E533D4" w:rsidP="00B4365A">
    <w:pPr>
      <w:pStyle w:val="Footer"/>
      <w:jc w:val="right"/>
      <w:rPr>
        <w:rFonts w:ascii="Times New Roman" w:hAnsi="Times New Roman"/>
        <w:sz w:val="24"/>
        <w:szCs w:val="24"/>
      </w:rPr>
    </w:pPr>
    <w:r w:rsidRPr="00E533D4">
      <w:rPr>
        <w:sz w:val="22"/>
        <w:szCs w:val="22"/>
      </w:rPr>
      <w:t>IV 16 Early Education and Care Resource</w:t>
    </w:r>
    <w:r w:rsidR="0018080F">
      <w:rPr>
        <w:sz w:val="22"/>
        <w:szCs w:val="22"/>
      </w:rPr>
      <w:tab/>
    </w:r>
    <w:r w:rsidR="0018080F">
      <w:rPr>
        <w:sz w:val="22"/>
        <w:szCs w:val="22"/>
      </w:rPr>
      <w:tab/>
    </w:r>
    <w:bookmarkStart w:id="0" w:name="_GoBack"/>
    <w:bookmarkEnd w:id="0"/>
    <w:r w:rsidR="00B4365A">
      <w:rPr>
        <w:rFonts w:ascii="Times New Roman" w:hAnsi="Times New Roman"/>
        <w:sz w:val="24"/>
        <w:szCs w:val="24"/>
      </w:rPr>
      <w:t xml:space="preserve">Page </w:t>
    </w:r>
    <w:r w:rsidR="00436593">
      <w:rPr>
        <w:rFonts w:ascii="Times New Roman" w:hAnsi="Times New Roman"/>
        <w:sz w:val="24"/>
        <w:szCs w:val="24"/>
      </w:rPr>
      <w:fldChar w:fldCharType="begin"/>
    </w:r>
    <w:r w:rsidR="00B4365A">
      <w:rPr>
        <w:rFonts w:ascii="Times New Roman" w:hAnsi="Times New Roman"/>
        <w:sz w:val="24"/>
        <w:szCs w:val="24"/>
      </w:rPr>
      <w:instrText xml:space="preserve"> PAGE   \* MERGEFORMAT </w:instrText>
    </w:r>
    <w:r w:rsidR="00436593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3</w:t>
    </w:r>
    <w:r w:rsidR="00436593">
      <w:rPr>
        <w:rFonts w:ascii="Times New Roman" w:hAnsi="Times New Roman"/>
        <w:sz w:val="24"/>
        <w:szCs w:val="24"/>
      </w:rPr>
      <w:fldChar w:fldCharType="end"/>
    </w:r>
  </w:p>
  <w:p w:rsidR="0018080F" w:rsidRDefault="001808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D4" w:rsidRDefault="00E53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0F" w:rsidRDefault="0018080F" w:rsidP="0018080F">
      <w:pPr>
        <w:spacing w:line="240" w:lineRule="auto"/>
      </w:pPr>
      <w:r>
        <w:separator/>
      </w:r>
    </w:p>
  </w:footnote>
  <w:footnote w:type="continuationSeparator" w:id="0">
    <w:p w:rsidR="0018080F" w:rsidRDefault="0018080F" w:rsidP="001808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D4" w:rsidRDefault="00E53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5A" w:rsidRPr="00BB37F1" w:rsidRDefault="00B4365A" w:rsidP="00B4365A">
    <w:pPr>
      <w:pStyle w:val="BodyText2"/>
      <w:pBdr>
        <w:bottom w:val="single" w:sz="4" w:space="1" w:color="auto"/>
      </w:pBdr>
      <w:spacing w:line="240" w:lineRule="auto"/>
      <w:ind w:left="360" w:right="403"/>
      <w:jc w:val="right"/>
      <w:rPr>
        <w:rFonts w:ascii="Times New Roman" w:hAnsi="Times New Roman"/>
        <w:strike/>
        <w:sz w:val="36"/>
        <w:szCs w:val="36"/>
      </w:rPr>
    </w:pPr>
  </w:p>
  <w:p w:rsidR="00B4365A" w:rsidRDefault="0030758F" w:rsidP="00B4365A">
    <w:pPr>
      <w:pStyle w:val="BodyText2"/>
      <w:pBdr>
        <w:bottom w:val="single" w:sz="4" w:space="1" w:color="auto"/>
      </w:pBdr>
      <w:spacing w:line="240" w:lineRule="auto"/>
      <w:ind w:left="360" w:right="403"/>
      <w:jc w:val="right"/>
      <w:rPr>
        <w:rFonts w:ascii="Times New Roman" w:hAnsi="Times New Roman"/>
        <w:sz w:val="36"/>
        <w:szCs w:val="36"/>
      </w:rPr>
    </w:pPr>
    <w:r>
      <w:rPr>
        <w:rFonts w:ascii="Times New Roman" w:hAnsi="Times New Roman"/>
        <w:sz w:val="36"/>
        <w:szCs w:val="36"/>
      </w:rPr>
      <w:t xml:space="preserve">Early Education and Care </w:t>
    </w:r>
    <w:r w:rsidR="00B4365A">
      <w:rPr>
        <w:rFonts w:ascii="Times New Roman" w:hAnsi="Times New Roman"/>
        <w:sz w:val="36"/>
        <w:szCs w:val="36"/>
      </w:rPr>
      <w:t xml:space="preserve">Quality </w:t>
    </w:r>
    <w:r w:rsidR="003B0EF4">
      <w:rPr>
        <w:rFonts w:ascii="Times New Roman" w:hAnsi="Times New Roman"/>
        <w:sz w:val="36"/>
        <w:szCs w:val="36"/>
      </w:rPr>
      <w:t>Services</w:t>
    </w:r>
    <w:r w:rsidR="00B4365A">
      <w:rPr>
        <w:rFonts w:ascii="Times New Roman" w:hAnsi="Times New Roman"/>
        <w:sz w:val="36"/>
        <w:szCs w:val="36"/>
      </w:rPr>
      <w:t xml:space="preserve"> </w:t>
    </w:r>
  </w:p>
  <w:p w:rsidR="00B4365A" w:rsidRDefault="00B4365A" w:rsidP="00B4365A">
    <w:pPr>
      <w:pStyle w:val="BodyText2"/>
      <w:spacing w:line="240" w:lineRule="auto"/>
      <w:ind w:left="360" w:right="403"/>
      <w:jc w:val="left"/>
      <w:rPr>
        <w:rFonts w:ascii="Times New Roman" w:hAnsi="Times New Roman"/>
        <w:sz w:val="24"/>
        <w:szCs w:val="24"/>
      </w:rPr>
    </w:pPr>
  </w:p>
  <w:p w:rsidR="00B4365A" w:rsidRDefault="00B4365A">
    <w:pPr>
      <w:pStyle w:val="Header"/>
    </w:pPr>
  </w:p>
  <w:p w:rsidR="00B4365A" w:rsidRDefault="00B436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D4" w:rsidRDefault="00E53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3548B"/>
    <w:multiLevelType w:val="hybridMultilevel"/>
    <w:tmpl w:val="4CB0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C11B2"/>
    <w:multiLevelType w:val="hybridMultilevel"/>
    <w:tmpl w:val="2846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0F"/>
    <w:rsid w:val="00032BC6"/>
    <w:rsid w:val="000D4328"/>
    <w:rsid w:val="00132B9A"/>
    <w:rsid w:val="0018080F"/>
    <w:rsid w:val="001824F6"/>
    <w:rsid w:val="002B2A40"/>
    <w:rsid w:val="002F60D3"/>
    <w:rsid w:val="0030758F"/>
    <w:rsid w:val="003418A1"/>
    <w:rsid w:val="003A5285"/>
    <w:rsid w:val="003B0EF4"/>
    <w:rsid w:val="0042103D"/>
    <w:rsid w:val="00436593"/>
    <w:rsid w:val="00476732"/>
    <w:rsid w:val="0049137F"/>
    <w:rsid w:val="004B5D3C"/>
    <w:rsid w:val="004C7A3B"/>
    <w:rsid w:val="00503D3F"/>
    <w:rsid w:val="00554E6F"/>
    <w:rsid w:val="00573CA0"/>
    <w:rsid w:val="00597F14"/>
    <w:rsid w:val="005E32EE"/>
    <w:rsid w:val="006342B2"/>
    <w:rsid w:val="0063485E"/>
    <w:rsid w:val="00643607"/>
    <w:rsid w:val="00653F2C"/>
    <w:rsid w:val="0066725E"/>
    <w:rsid w:val="006812E0"/>
    <w:rsid w:val="006833EF"/>
    <w:rsid w:val="006B7EAD"/>
    <w:rsid w:val="007720E1"/>
    <w:rsid w:val="007872F1"/>
    <w:rsid w:val="00850683"/>
    <w:rsid w:val="00885276"/>
    <w:rsid w:val="008973DE"/>
    <w:rsid w:val="00910221"/>
    <w:rsid w:val="009645DF"/>
    <w:rsid w:val="00A72645"/>
    <w:rsid w:val="00A84D0A"/>
    <w:rsid w:val="00A92CDB"/>
    <w:rsid w:val="00B4365A"/>
    <w:rsid w:val="00B6733A"/>
    <w:rsid w:val="00B94245"/>
    <w:rsid w:val="00BB37F1"/>
    <w:rsid w:val="00C35303"/>
    <w:rsid w:val="00CA44EF"/>
    <w:rsid w:val="00CB41A1"/>
    <w:rsid w:val="00CB71E4"/>
    <w:rsid w:val="00CE7372"/>
    <w:rsid w:val="00D06270"/>
    <w:rsid w:val="00D12E29"/>
    <w:rsid w:val="00D17844"/>
    <w:rsid w:val="00DD451F"/>
    <w:rsid w:val="00DE5E17"/>
    <w:rsid w:val="00E1292A"/>
    <w:rsid w:val="00E533D4"/>
    <w:rsid w:val="00E77B76"/>
    <w:rsid w:val="00F2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AB9EFA2-7208-419D-A381-E3376219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8080F"/>
    <w:pPr>
      <w:widowControl w:val="0"/>
      <w:adjustRightInd w:val="0"/>
      <w:spacing w:after="0" w:line="360" w:lineRule="atLeast"/>
      <w:jc w:val="both"/>
    </w:pPr>
    <w:rPr>
      <w:rFonts w:ascii="CG Times" w:eastAsia="Times New Roman" w:hAnsi="CG Times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18080F"/>
    <w:pPr>
      <w:tabs>
        <w:tab w:val="left" w:pos="1800"/>
      </w:tabs>
    </w:pPr>
    <w:rPr>
      <w:rFonts w:ascii="Gill Sans" w:hAnsi="Gill Sans"/>
      <w:color w:val="000000"/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18080F"/>
    <w:rPr>
      <w:rFonts w:ascii="Gill Sans" w:eastAsia="Times New Roman" w:hAnsi="Gill Sans" w:cs="Times New Roman"/>
      <w:color w:val="000000"/>
      <w:sz w:val="18"/>
      <w:szCs w:val="20"/>
    </w:rPr>
  </w:style>
  <w:style w:type="table" w:styleId="TableGrid">
    <w:name w:val="Table Grid"/>
    <w:basedOn w:val="TableNormal"/>
    <w:uiPriority w:val="59"/>
    <w:rsid w:val="0018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8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80F"/>
    <w:rPr>
      <w:rFonts w:ascii="CG Times" w:eastAsia="Times New Roman" w:hAnsi="CG Times" w:cs="Times New Roman"/>
      <w:sz w:val="28"/>
      <w:szCs w:val="20"/>
    </w:rPr>
  </w:style>
  <w:style w:type="paragraph" w:styleId="Footer">
    <w:name w:val="footer"/>
    <w:basedOn w:val="Normal"/>
    <w:link w:val="FooterChar"/>
    <w:unhideWhenUsed/>
    <w:rsid w:val="001808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18080F"/>
    <w:rPr>
      <w:rFonts w:ascii="CG Times" w:eastAsia="Times New Roman" w:hAnsi="CG Times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7720E1"/>
    <w:pPr>
      <w:ind w:left="720"/>
      <w:contextualSpacing/>
    </w:pPr>
  </w:style>
  <w:style w:type="paragraph" w:customStyle="1" w:styleId="Default">
    <w:name w:val="Default"/>
    <w:rsid w:val="007720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</dc:creator>
  <cp:keywords/>
  <dc:description/>
  <cp:lastModifiedBy>Baggerly, David</cp:lastModifiedBy>
  <cp:revision>3</cp:revision>
  <cp:lastPrinted>2013-04-03T22:38:00Z</cp:lastPrinted>
  <dcterms:created xsi:type="dcterms:W3CDTF">2017-03-06T19:54:00Z</dcterms:created>
  <dcterms:modified xsi:type="dcterms:W3CDTF">2017-03-06T22:03:00Z</dcterms:modified>
</cp:coreProperties>
</file>